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552" w:type="dxa"/>
        <w:jc w:val="left"/>
        <w:tblInd w:w="-89" w:type="dxa"/>
        <w:tblBorders>
          <w:top w:val="double" w:sz="20" w:space="0" w:color="000001"/>
          <w:left w:val="double" w:sz="20" w:space="0" w:color="000001"/>
          <w:bottom w:val="double" w:sz="20" w:space="0" w:color="000001"/>
          <w:right w:val="double" w:sz="20" w:space="0" w:color="000001"/>
          <w:insideH w:val="double" w:sz="20" w:space="0" w:color="000001"/>
          <w:insideV w:val="double" w:sz="20" w:space="0" w:color="000001"/>
        </w:tblBorders>
        <w:tblCellMar>
          <w:top w:w="0" w:type="dxa"/>
          <w:left w:w="-42" w:type="dxa"/>
          <w:bottom w:w="0" w:type="dxa"/>
          <w:right w:w="108" w:type="dxa"/>
        </w:tblCellMar>
      </w:tblPr>
      <w:tblGrid>
        <w:gridCol w:w="8552"/>
      </w:tblGrid>
      <w:tr>
        <w:trPr/>
        <w:tc>
          <w:tcPr>
            <w:tcW w:w="8552" w:type="dxa"/>
            <w:tcBorders>
              <w:top w:val="double" w:sz="20" w:space="0" w:color="000001"/>
              <w:left w:val="double" w:sz="20" w:space="0" w:color="000001"/>
              <w:bottom w:val="double" w:sz="20" w:space="0" w:color="000001"/>
              <w:right w:val="double" w:sz="20" w:space="0" w:color="000001"/>
              <w:insideH w:val="double" w:sz="20" w:space="0" w:color="000001"/>
              <w:insideV w:val="double" w:sz="20" w:space="0" w:color="000001"/>
            </w:tcBorders>
            <w:shd w:fill="D9D9D9" w:val="clear"/>
            <w:tcMar>
              <w:left w:w="-42" w:type="dxa"/>
            </w:tcMar>
          </w:tcPr>
          <w:p>
            <w:pPr>
              <w:pStyle w:val="Normal"/>
              <w:snapToGrid w:val="false"/>
              <w:jc w:val="center"/>
              <w:rPr>
                <w:b/>
                <w:b/>
                <w:bCs/>
                <w:sz w:val="36"/>
                <w:szCs w:val="36"/>
              </w:rPr>
            </w:pPr>
            <w:r>
              <w:rPr>
                <w:b/>
                <w:bCs/>
                <w:sz w:val="36"/>
                <w:szCs w:val="36"/>
              </w:rPr>
              <w:t>Explanation for Signifi</w:t>
            </w:r>
            <w:r>
              <w:rPr>
                <w:b/>
                <w:bCs/>
                <w:sz w:val="36"/>
                <w:szCs w:val="36"/>
              </w:rPr>
              <w:t>c</w:t>
            </w:r>
            <w:r>
              <w:rPr>
                <w:b/>
                <w:bCs/>
                <w:sz w:val="36"/>
                <w:szCs w:val="36"/>
              </w:rPr>
              <w:t>ant Differences 2015-16</w:t>
            </w:r>
          </w:p>
        </w:tc>
      </w:tr>
    </w:tbl>
    <w:p>
      <w:pPr>
        <w:pStyle w:val="Normal"/>
        <w:rPr/>
      </w:pPr>
      <w:r>
        <w:rPr/>
      </w:r>
    </w:p>
    <w:p>
      <w:pPr>
        <w:pStyle w:val="Normal"/>
        <w:spacing w:before="0" w:after="0"/>
        <w:rPr/>
      </w:pPr>
      <w:r>
        <w:rPr>
          <w:rFonts w:cs="Arial"/>
          <w:b w:val="false"/>
          <w:bCs w:val="false"/>
          <w:sz w:val="24"/>
          <w:szCs w:val="24"/>
        </w:rPr>
        <w:t xml:space="preserve">The explanation for a significant variation in the </w:t>
      </w:r>
      <w:r>
        <w:rPr>
          <w:rFonts w:cs="Arial"/>
          <w:b w:val="false"/>
          <w:bCs w:val="false"/>
          <w:sz w:val="24"/>
          <w:szCs w:val="24"/>
        </w:rPr>
        <w:t>Annual Return Accounting Statements “</w:t>
      </w:r>
      <w:r>
        <w:rPr>
          <w:rFonts w:cs="Arial"/>
          <w:b w:val="false"/>
          <w:bCs w:val="false"/>
          <w:sz w:val="24"/>
          <w:szCs w:val="24"/>
        </w:rPr>
        <w:t>All other Payments (Box 6)” Category is as follows:-</w:t>
      </w:r>
    </w:p>
    <w:p>
      <w:pPr>
        <w:pStyle w:val="Normal"/>
        <w:spacing w:before="0" w:after="0"/>
        <w:rPr/>
      </w:pPr>
      <w:r>
        <w:rPr/>
      </w:r>
    </w:p>
    <w:p>
      <w:pPr>
        <w:pStyle w:val="Normal"/>
        <w:widowControl/>
        <w:bidi w:val="0"/>
        <w:spacing w:lineRule="auto" w:line="276" w:before="0" w:after="200"/>
        <w:ind w:left="0" w:right="0" w:firstLine="737"/>
        <w:jc w:val="left"/>
        <w:rPr/>
      </w:pPr>
      <w:r>
        <w:rPr/>
        <w:t>In 2014-15 expenditure under this Category was extraordinarily high due to:-</w:t>
      </w:r>
    </w:p>
    <w:p>
      <w:pPr>
        <w:pStyle w:val="Normal"/>
        <w:widowControl/>
        <w:numPr>
          <w:ilvl w:val="0"/>
          <w:numId w:val="2"/>
        </w:numPr>
        <w:bidi w:val="0"/>
        <w:spacing w:lineRule="auto" w:line="276" w:before="0" w:after="200"/>
        <w:ind w:left="1134" w:right="0" w:hanging="397"/>
        <w:jc w:val="left"/>
        <w:rPr/>
      </w:pPr>
      <w:r>
        <w:rPr/>
        <w:t>Payments for the Repairs to the Parish War Memorial for the World War I Commemorations, and Repairs to the Parish Noticeboard.</w:t>
      </w:r>
    </w:p>
    <w:p>
      <w:pPr>
        <w:pStyle w:val="Normal"/>
        <w:widowControl/>
        <w:numPr>
          <w:ilvl w:val="0"/>
          <w:numId w:val="2"/>
        </w:numPr>
        <w:bidi w:val="0"/>
        <w:spacing w:lineRule="auto" w:line="276" w:before="0" w:after="200"/>
        <w:ind w:left="1134" w:right="0" w:hanging="397"/>
        <w:jc w:val="left"/>
        <w:rPr/>
      </w:pPr>
      <w:r>
        <w:rPr/>
        <w:t>The Parish Council made a one-off Donation of £1500 to the Middridge Village Association towards the costs of Re-rendering the Village Hall.</w:t>
      </w:r>
    </w:p>
    <w:p>
      <w:pPr>
        <w:pStyle w:val="Normal"/>
        <w:widowControl/>
        <w:numPr>
          <w:ilvl w:val="0"/>
          <w:numId w:val="2"/>
        </w:numPr>
        <w:bidi w:val="0"/>
        <w:spacing w:lineRule="auto" w:line="276" w:before="0" w:after="200"/>
        <w:ind w:left="1134" w:right="0" w:hanging="397"/>
        <w:jc w:val="left"/>
        <w:rPr>
          <w:rFonts w:ascii="Arial" w:hAnsi="Arial" w:cs="Arial"/>
          <w:iCs/>
          <w:sz w:val="24"/>
          <w:szCs w:val="24"/>
        </w:rPr>
      </w:pPr>
      <w:r>
        <w:rPr>
          <w:rFonts w:cs="Arial"/>
          <w:iCs/>
          <w:sz w:val="24"/>
          <w:szCs w:val="24"/>
        </w:rPr>
        <w:t xml:space="preserve">The Parish Council paid for various Modifications to the Stiles on Parish Path 7 (£650 + VAT) as agreed with Durham County Council. </w:t>
      </w:r>
    </w:p>
    <w:p>
      <w:pPr>
        <w:pStyle w:val="Normal"/>
        <w:widowControl/>
        <w:suppressAutoHyphens w:val="true"/>
        <w:overflowPunct w:val="false"/>
        <w:bidi w:val="0"/>
        <w:spacing w:lineRule="auto" w:line="276" w:before="0" w:after="200"/>
        <w:ind w:left="1701" w:right="0" w:hanging="964"/>
        <w:jc w:val="left"/>
        <w:rPr/>
      </w:pPr>
      <w:r>
        <w:rPr>
          <w:rFonts w:cs="Arial"/>
          <w:b/>
          <w:bCs/>
          <w:iCs/>
          <w:sz w:val="24"/>
          <w:szCs w:val="24"/>
        </w:rPr>
        <w:t xml:space="preserve">NOTE – </w:t>
      </w:r>
      <w:r>
        <w:rPr>
          <w:rFonts w:cs="Arial"/>
          <w:iCs/>
          <w:sz w:val="24"/>
          <w:szCs w:val="24"/>
        </w:rPr>
        <w:t>unfortunately there was some problem with Durham County Council reimbursing the Parish Council for this work, and the repayment was eventually made much too late for it to appear in the 2014-15 Annual Return; it appears under the “Total other Receipts (Box 3)” Category in this Annual Return.</w:t>
      </w:r>
    </w:p>
    <w:p>
      <w:pPr>
        <w:pStyle w:val="Normal"/>
        <w:widowControl/>
        <w:suppressAutoHyphens w:val="true"/>
        <w:overflowPunct w:val="false"/>
        <w:bidi w:val="0"/>
        <w:spacing w:lineRule="auto" w:line="276" w:before="0" w:after="0"/>
        <w:ind w:left="0" w:right="0" w:firstLine="737"/>
        <w:jc w:val="left"/>
        <w:rPr>
          <w:rFonts w:ascii="Arial" w:hAnsi="Arial" w:cs="Arial"/>
          <w:sz w:val="24"/>
          <w:szCs w:val="24"/>
        </w:rPr>
      </w:pPr>
      <w:r>
        <w:rPr>
          <w:rFonts w:cs="Arial"/>
          <w:sz w:val="24"/>
          <w:szCs w:val="24"/>
        </w:rPr>
        <w:t>In contrast there was less exceptional expenditure in 2015-16, although there was still some abnormal expenditure for the following:-</w:t>
      </w:r>
    </w:p>
    <w:p>
      <w:pPr>
        <w:pStyle w:val="Normal"/>
        <w:widowControl/>
        <w:suppressAutoHyphens w:val="true"/>
        <w:overflowPunct w:val="false"/>
        <w:bidi w:val="0"/>
        <w:spacing w:lineRule="auto" w:line="276" w:before="0" w:after="0"/>
        <w:ind w:left="0" w:right="0" w:firstLine="737"/>
        <w:jc w:val="left"/>
        <w:rPr>
          <w:rFonts w:ascii="Arial" w:hAnsi="Arial" w:cs="Arial"/>
          <w:sz w:val="24"/>
          <w:szCs w:val="24"/>
        </w:rPr>
      </w:pPr>
      <w:r>
        <w:rPr>
          <w:rFonts w:cs="Arial"/>
          <w:sz w:val="24"/>
          <w:szCs w:val="24"/>
        </w:rPr>
      </w:r>
    </w:p>
    <w:p>
      <w:pPr>
        <w:pStyle w:val="Normal"/>
        <w:widowControl/>
        <w:numPr>
          <w:ilvl w:val="0"/>
          <w:numId w:val="3"/>
        </w:numPr>
        <w:suppressAutoHyphens w:val="true"/>
        <w:overflowPunct w:val="false"/>
        <w:bidi w:val="0"/>
        <w:spacing w:lineRule="auto" w:line="276" w:before="0" w:after="0"/>
        <w:ind w:left="1134" w:right="0" w:hanging="397"/>
        <w:jc w:val="left"/>
        <w:rPr>
          <w:rFonts w:ascii="Arial" w:hAnsi="Arial" w:cs="Arial"/>
          <w:sz w:val="24"/>
          <w:szCs w:val="24"/>
        </w:rPr>
      </w:pPr>
      <w:r>
        <w:rPr>
          <w:rFonts w:cs="Arial"/>
          <w:sz w:val="24"/>
          <w:szCs w:val="24"/>
        </w:rPr>
        <w:t>The replacement of the North Side Bus Shelter Roof (£1100).</w:t>
      </w:r>
    </w:p>
    <w:p>
      <w:pPr>
        <w:pStyle w:val="Normal"/>
        <w:widowControl/>
        <w:suppressAutoHyphens w:val="true"/>
        <w:overflowPunct w:val="false"/>
        <w:bidi w:val="0"/>
        <w:spacing w:lineRule="auto" w:line="276" w:before="0" w:after="0"/>
        <w:ind w:left="1134" w:right="0" w:hanging="397"/>
        <w:jc w:val="left"/>
        <w:rPr/>
      </w:pPr>
      <w:r>
        <w:rPr/>
      </w:r>
    </w:p>
    <w:p>
      <w:pPr>
        <w:pStyle w:val="Normal"/>
        <w:widowControl/>
        <w:numPr>
          <w:ilvl w:val="0"/>
          <w:numId w:val="3"/>
        </w:numPr>
        <w:suppressAutoHyphens w:val="true"/>
        <w:overflowPunct w:val="false"/>
        <w:bidi w:val="0"/>
        <w:spacing w:lineRule="auto" w:line="276" w:before="0" w:after="0"/>
        <w:ind w:left="1134" w:right="0" w:hanging="397"/>
        <w:jc w:val="left"/>
        <w:rPr>
          <w:rFonts w:ascii="Arial" w:hAnsi="Arial" w:cs="Arial"/>
          <w:sz w:val="24"/>
          <w:szCs w:val="24"/>
        </w:rPr>
      </w:pPr>
      <w:r>
        <w:rPr>
          <w:rFonts w:cs="Arial"/>
          <w:sz w:val="24"/>
          <w:szCs w:val="24"/>
        </w:rPr>
        <w:t>Repairs to the Village Green Benches, and the repainting of the South Side Bus Shelter and Village Green Benches.</w:t>
      </w:r>
    </w:p>
    <w:p>
      <w:pPr>
        <w:pStyle w:val="Normal"/>
        <w:widowControl/>
        <w:suppressAutoHyphens w:val="true"/>
        <w:overflowPunct w:val="false"/>
        <w:bidi w:val="0"/>
        <w:spacing w:lineRule="auto" w:line="276" w:before="0" w:after="0"/>
        <w:ind w:left="1134" w:right="0" w:hanging="397"/>
        <w:jc w:val="left"/>
        <w:rPr>
          <w:rFonts w:ascii="Arial" w:hAnsi="Arial" w:eastAsia="Arial" w:cs="Arial"/>
          <w:sz w:val="24"/>
          <w:szCs w:val="24"/>
        </w:rPr>
      </w:pPr>
      <w:r>
        <w:rPr>
          <w:rFonts w:eastAsia="Arial" w:cs="Arial"/>
          <w:sz w:val="24"/>
          <w:szCs w:val="24"/>
        </w:rPr>
        <w:t xml:space="preserve"> </w:t>
      </w:r>
    </w:p>
    <w:p>
      <w:pPr>
        <w:pStyle w:val="Normal"/>
        <w:widowControl/>
        <w:suppressAutoHyphens w:val="true"/>
        <w:overflowPunct w:val="false"/>
        <w:bidi w:val="0"/>
        <w:spacing w:lineRule="auto" w:line="276" w:before="0" w:after="0"/>
        <w:ind w:left="0" w:right="0" w:firstLine="737"/>
        <w:jc w:val="left"/>
        <w:rPr/>
      </w:pPr>
      <w:r>
        <w:rPr>
          <w:rFonts w:cs="Arial"/>
          <w:sz w:val="24"/>
          <w:szCs w:val="24"/>
        </w:rPr>
        <w:t>Consequently, overall the Parish Council's Maintenance Costs were lower for 2015-16 than for 2014-15.</w:t>
      </w:r>
    </w:p>
    <w:sectPr>
      <w:footerReference w:type="default" r:id="rId2"/>
      <w:type w:val="nextPage"/>
      <w:pgSz w:w="11906" w:h="16838"/>
      <w:pgMar w:left="1800" w:right="1800" w:header="0" w:top="1440" w:footer="720" w:bottom="1440" w:gutter="0"/>
      <w:pgNumType w:start="0"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Comic Sans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80645" cy="159385"/>
              <wp:effectExtent l="0" t="0" r="0" b="0"/>
              <wp:wrapSquare wrapText="largest"/>
              <wp:docPr id="1" name="Frame1"/>
              <a:graphic xmlns:a="http://schemas.openxmlformats.org/drawingml/2006/main">
                <a:graphicData uri="http://schemas.microsoft.com/office/word/2010/wordprocessingShape">
                  <wps:wsp>
                    <wps:cNvSpPr/>
                    <wps:spPr>
                      <a:xfrm>
                        <a:off x="0" y="0"/>
                        <a:ext cx="79920" cy="158760"/>
                      </a:xfrm>
                      <a:prstGeom prst="rect">
                        <a:avLst/>
                      </a:prstGeom>
                      <a:noFill/>
                      <a:ln>
                        <a:noFill/>
                      </a:ln>
                    </wps:spPr>
                    <wps:style>
                      <a:lnRef idx="0"/>
                      <a:fillRef idx="0"/>
                      <a:effectRef idx="0"/>
                      <a:fontRef idx="minor"/>
                    </wps:style>
                    <wps:txbx>
                      <w:txbxContent>
                        <w:p>
                          <w:pPr>
                            <w:pStyle w:val="Footer"/>
                            <w:rPr>
                              <w:color w:val="auto"/>
                            </w:rPr>
                          </w:pPr>
                          <w:r>
                            <w:rPr>
                              <w:color w:val="auto"/>
                            </w:rPr>
                            <w:fldChar w:fldCharType="begin"/>
                          </w:r>
                          <w:r>
                            <w:instrText> PAGE </w:instrText>
                          </w:r>
                          <w:r>
                            <w:fldChar w:fldCharType="separate"/>
                          </w:r>
                          <w:r>
                            <w:t>0</w:t>
                          </w:r>
                          <w:r>
                            <w:fldChar w:fldCharType="end"/>
                          </w:r>
                        </w:p>
                      </w:txbxContent>
                    </wps:txbx>
                    <wps:bodyPr>
                      <a:noAutofit/>
                    </wps:bodyPr>
                  </wps:wsp>
                </a:graphicData>
              </a:graphic>
            </wp:anchor>
          </w:drawing>
        </mc:Choice>
        <mc:Fallback>
          <w:pict>
            <v:rect id="shape_0" ID="Frame1" fillcolor="white" stroked="f" style="position:absolute;margin-left:204.5pt;margin-top:0.05pt;width:6.25pt;height:12.45pt;mso-position-horizontal:center;mso-position-horizontal-relative:margin">
              <w10:wrap type="square"/>
              <v:fill o:detectmouseclick="t" type="solid" color2="black" opacity="0"/>
              <v:stroke color="#3465a4" joinstyle="round" endcap="flat"/>
              <v:textbox>
                <w:txbxContent>
                  <w:p>
                    <w:pPr>
                      <w:pStyle w:val="Footer"/>
                      <w:rPr>
                        <w:color w:val="auto"/>
                      </w:rPr>
                    </w:pPr>
                    <w:r>
                      <w:rPr>
                        <w:color w:val="auto"/>
                      </w:rPr>
                      <w:fldChar w:fldCharType="begin"/>
                    </w:r>
                    <w:r>
                      <w:instrText> PAGE </w:instrText>
                    </w:r>
                    <w:r>
                      <w:fldChar w:fldCharType="separate"/>
                    </w:r>
                    <w:r>
                      <w:t>0</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708" w:hanging="708"/>
      </w:pPr>
    </w:lvl>
    <w:lvl w:ilvl="1">
      <w:start w:val="1"/>
      <w:pStyle w:val="Heading2"/>
      <w:numFmt w:val="decimal"/>
      <w:lvlText w:val="%1.%2."/>
      <w:lvlJc w:val="left"/>
      <w:pPr>
        <w:ind w:left="1416" w:hanging="708"/>
      </w:pPr>
    </w:lvl>
    <w:lvl w:ilvl="2">
      <w:start w:val="1"/>
      <w:pStyle w:val="Heading3"/>
      <w:numFmt w:val="decimal"/>
      <w:lvlText w:val="%1.%2.%3."/>
      <w:lvlJc w:val="left"/>
      <w:pPr>
        <w:ind w:left="2124" w:hanging="708"/>
      </w:pPr>
    </w:lvl>
    <w:lvl w:ilvl="3">
      <w:start w:val="1"/>
      <w:pStyle w:val="Heading4"/>
      <w:numFmt w:val="decimal"/>
      <w:lvlText w:val="%1.%2.%3.%4."/>
      <w:lvlJc w:val="left"/>
      <w:pPr>
        <w:ind w:left="2410" w:hanging="708"/>
      </w:pPr>
    </w:lvl>
    <w:lvl w:ilvl="4">
      <w:start w:val="1"/>
      <w:pStyle w:val="Heading5"/>
      <w:numFmt w:val="decimal"/>
      <w:lvlText w:val="%1.%2.%3.%4.%5."/>
      <w:lvlJc w:val="left"/>
      <w:pPr>
        <w:ind w:left="3540" w:hanging="708"/>
      </w:pPr>
    </w:lvl>
    <w:lvl w:ilvl="5">
      <w:start w:val="1"/>
      <w:pStyle w:val="Heading6"/>
      <w:numFmt w:val="decimal"/>
      <w:lvlText w:val="%1.%2.%3.%4.%5.%6."/>
      <w:lvlJc w:val="left"/>
      <w:pPr>
        <w:ind w:left="4248" w:hanging="708"/>
      </w:pPr>
    </w:lvl>
    <w:lvl w:ilvl="6">
      <w:start w:val="1"/>
      <w:pStyle w:val="Heading7"/>
      <w:numFmt w:val="decimal"/>
      <w:lvlText w:val="%1.%2.%3.%4.%5.%6.%7."/>
      <w:lvlJc w:val="left"/>
      <w:pPr>
        <w:ind w:left="4956" w:hanging="708"/>
      </w:pPr>
    </w:lvl>
    <w:lvl w:ilvl="7">
      <w:start w:val="1"/>
      <w:pStyle w:val="Heading8"/>
      <w:numFmt w:val="decimal"/>
      <w:lvlText w:val="%1.%2.%3.%4.%5.%6.%7.%8."/>
      <w:lvlJc w:val="left"/>
      <w:pPr>
        <w:ind w:left="5664" w:hanging="708"/>
      </w:pPr>
    </w:lvl>
    <w:lvl w:ilvl="8">
      <w:start w:val="1"/>
      <w:pStyle w:val="Heading9"/>
      <w:numFmt w:val="decimal"/>
      <w:lvlText w:val="%1.%2.%3.%4.%5.%6.%7.%8.%9."/>
      <w:lvlJc w:val="left"/>
      <w:pPr>
        <w:ind w:left="6372" w:hanging="708"/>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GB" w:eastAsia="zh-CN" w:bidi="hi-IN"/>
      </w:rPr>
    </w:rPrDefault>
    <w:pPrDefault>
      <w:pPr/>
    </w:pPrDefault>
  </w:docDefaults>
  <w:style w:type="paragraph" w:styleId="Normal">
    <w:name w:val="Normal"/>
    <w:qFormat/>
    <w:pPr>
      <w:widowControl/>
      <w:overflowPunct w:val="false"/>
      <w:bidi w:val="0"/>
      <w:jc w:val="left"/>
    </w:pPr>
    <w:rPr>
      <w:rFonts w:ascii="Arial" w:hAnsi="Arial" w:eastAsia="Times New Roman" w:cs="Times New Roman"/>
      <w:color w:val="00000A"/>
      <w:sz w:val="22"/>
      <w:szCs w:val="22"/>
      <w:lang w:val="en-GB" w:eastAsia="zh-CN" w:bidi="ar-SA"/>
    </w:rPr>
  </w:style>
  <w:style w:type="paragraph" w:styleId="Heading1">
    <w:name w:val="Heading 1"/>
    <w:basedOn w:val="Normal"/>
    <w:next w:val="Normal"/>
    <w:qFormat/>
    <w:pPr>
      <w:keepNext/>
      <w:numPr>
        <w:ilvl w:val="0"/>
        <w:numId w:val="1"/>
      </w:numPr>
      <w:spacing w:before="240" w:after="60"/>
      <w:outlineLvl w:val="0"/>
      <w:outlineLvl w:val="0"/>
    </w:pPr>
    <w:rPr>
      <w:b/>
      <w:sz w:val="32"/>
      <w:szCs w:val="32"/>
    </w:rPr>
  </w:style>
  <w:style w:type="paragraph" w:styleId="Heading2">
    <w:name w:val="Heading 2"/>
    <w:basedOn w:val="Normal"/>
    <w:next w:val="Normal"/>
    <w:qFormat/>
    <w:pPr>
      <w:keepNext/>
      <w:numPr>
        <w:ilvl w:val="1"/>
        <w:numId w:val="1"/>
      </w:numPr>
      <w:spacing w:before="240" w:after="60"/>
      <w:outlineLvl w:val="1"/>
      <w:outlineLvl w:val="1"/>
    </w:pPr>
    <w:rPr>
      <w:b/>
      <w:sz w:val="28"/>
      <w:szCs w:val="28"/>
    </w:rPr>
  </w:style>
  <w:style w:type="paragraph" w:styleId="Heading3">
    <w:name w:val="Heading 3"/>
    <w:basedOn w:val="Normal"/>
    <w:next w:val="Normal"/>
    <w:qFormat/>
    <w:pPr>
      <w:keepNext/>
      <w:numPr>
        <w:ilvl w:val="2"/>
        <w:numId w:val="1"/>
      </w:numPr>
      <w:spacing w:before="240" w:after="60"/>
      <w:outlineLvl w:val="2"/>
      <w:outlineLvl w:val="2"/>
    </w:pPr>
    <w:rPr>
      <w:b/>
      <w:sz w:val="24"/>
      <w:szCs w:val="24"/>
    </w:rPr>
  </w:style>
  <w:style w:type="paragraph" w:styleId="Heading4">
    <w:name w:val="Heading 4"/>
    <w:basedOn w:val="Normal"/>
    <w:next w:val="Normal"/>
    <w:qFormat/>
    <w:pPr>
      <w:keepNext/>
      <w:numPr>
        <w:ilvl w:val="3"/>
        <w:numId w:val="1"/>
      </w:numPr>
      <w:spacing w:before="240" w:after="60"/>
      <w:outlineLvl w:val="3"/>
      <w:outlineLvl w:val="3"/>
    </w:pPr>
    <w:rPr>
      <w:b/>
      <w:sz w:val="24"/>
      <w:szCs w:val="24"/>
    </w:rPr>
  </w:style>
  <w:style w:type="paragraph" w:styleId="Heading5">
    <w:name w:val="Heading 5"/>
    <w:basedOn w:val="Normal"/>
    <w:next w:val="Normal"/>
    <w:qFormat/>
    <w:pPr>
      <w:numPr>
        <w:ilvl w:val="4"/>
        <w:numId w:val="1"/>
      </w:numPr>
      <w:spacing w:before="240" w:after="60"/>
      <w:outlineLvl w:val="4"/>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outlineLvl w:val="5"/>
    </w:pPr>
    <w:rPr>
      <w:i/>
      <w:sz w:val="22"/>
    </w:rPr>
  </w:style>
  <w:style w:type="paragraph" w:styleId="Heading7">
    <w:name w:val="Heading 7"/>
    <w:basedOn w:val="Normal"/>
    <w:next w:val="Normal"/>
    <w:qFormat/>
    <w:pPr>
      <w:numPr>
        <w:ilvl w:val="6"/>
        <w:numId w:val="1"/>
      </w:numPr>
      <w:spacing w:before="240" w:after="60"/>
      <w:outlineLvl w:val="6"/>
      <w:outlineLvl w:val="6"/>
    </w:pPr>
    <w:rPr>
      <w:rFonts w:ascii="Arial" w:hAnsi="Arial"/>
    </w:rPr>
  </w:style>
  <w:style w:type="paragraph" w:styleId="Heading8">
    <w:name w:val="Heading 8"/>
    <w:basedOn w:val="Normal"/>
    <w:next w:val="Normal"/>
    <w:qFormat/>
    <w:pPr>
      <w:numPr>
        <w:ilvl w:val="7"/>
        <w:numId w:val="1"/>
      </w:numPr>
      <w:spacing w:before="240" w:after="60"/>
      <w:outlineLvl w:val="7"/>
      <w:outlineLvl w:val="7"/>
    </w:pPr>
    <w:rPr>
      <w:rFonts w:ascii="Arial" w:hAnsi="Arial"/>
      <w:i/>
    </w:rPr>
  </w:style>
  <w:style w:type="paragraph" w:styleId="Heading9">
    <w:name w:val="Heading 9"/>
    <w:basedOn w:val="Normal"/>
    <w:next w:val="Normal"/>
    <w:qFormat/>
    <w:pPr>
      <w:numPr>
        <w:ilvl w:val="8"/>
        <w:numId w:val="1"/>
      </w:numPr>
      <w:spacing w:before="240" w:after="60"/>
      <w:outlineLvl w:val="8"/>
      <w:outlineLvl w:val="8"/>
    </w:pPr>
    <w:rPr>
      <w:rFonts w:ascii="Arial" w:hAnsi="Arial"/>
      <w:b/>
      <w:i/>
      <w:sz w:val="18"/>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Internet Link"/>
    <w:rPr>
      <w:color w:val="000080"/>
      <w:u w:val="single"/>
      <w:lang w:val="zxx" w:eastAsia="zxx" w:bidi="zxx"/>
    </w:rPr>
  </w:style>
  <w:style w:type="character" w:styleId="BalloonTextChar">
    <w:name w:val="Balloon Text Char"/>
    <w:basedOn w:val="DefaultParagraphFont"/>
    <w:qFormat/>
    <w:rPr>
      <w:rFonts w:ascii="Tahoma" w:hAnsi="Tahoma" w:cs="Tahoma"/>
      <w:sz w:val="16"/>
      <w:szCs w:val="16"/>
    </w:rPr>
  </w:style>
  <w:style w:type="character" w:styleId="TitleChar">
    <w:name w:val="Title Char"/>
    <w:basedOn w:val="DefaultParagraphFont"/>
    <w:qFormat/>
    <w:rPr>
      <w:rFonts w:ascii="Comic Sans MS" w:hAnsi="Comic Sans MS" w:cs="Times New Roman"/>
      <w:b/>
      <w:bCs/>
      <w:sz w:val="24"/>
      <w:szCs w:val="24"/>
      <w:lang w:val="en-GB"/>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rFonts w:cs="Arial"/>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Heading">
    <w:name w:val="Heading"/>
    <w:basedOn w:val="Normal"/>
    <w:next w:val="TextBody"/>
    <w:qFormat/>
    <w:pPr>
      <w:keepNext/>
      <w:spacing w:before="240" w:after="120"/>
    </w:pPr>
    <w:rPr>
      <w:rFonts w:ascii="Arial" w:hAnsi="Arial" w:eastAsia="MS Mincho"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Contents1">
    <w:name w:val="TOC 1"/>
    <w:basedOn w:val="Normal"/>
    <w:next w:val="Normal"/>
    <w:pPr/>
    <w:rPr>
      <w:b/>
      <w:sz w:val="32"/>
    </w:rPr>
  </w:style>
  <w:style w:type="paragraph" w:styleId="Contents2">
    <w:name w:val="TOC 2"/>
    <w:basedOn w:val="Normal"/>
    <w:next w:val="Normal"/>
    <w:pPr>
      <w:ind w:left="220" w:right="0" w:hanging="0"/>
    </w:pPr>
    <w:rPr>
      <w:b/>
      <w:sz w:val="28"/>
    </w:rPr>
  </w:style>
  <w:style w:type="paragraph" w:styleId="Style11">
    <w:name w:val="Style1"/>
    <w:basedOn w:val="Normal"/>
    <w:qFormat/>
    <w:pPr>
      <w:jc w:val="center"/>
    </w:pPr>
    <w:rPr>
      <w:b/>
      <w:sz w:val="24"/>
    </w:rPr>
  </w:style>
  <w:style w:type="paragraph" w:styleId="Contents3">
    <w:name w:val="TOC 3"/>
    <w:basedOn w:val="Normal"/>
    <w:next w:val="Normal"/>
    <w:pPr>
      <w:ind w:left="440" w:right="0" w:hanging="0"/>
    </w:pPr>
    <w:rPr>
      <w:b/>
      <w:sz w:val="24"/>
    </w:rPr>
  </w:style>
  <w:style w:type="paragraph" w:styleId="Contents4">
    <w:name w:val="TOC 4"/>
    <w:basedOn w:val="Normal"/>
    <w:next w:val="Normal"/>
    <w:pPr>
      <w:ind w:left="660" w:right="0" w:hanging="0"/>
    </w:pPr>
    <w:rPr>
      <w:b/>
    </w:rPr>
  </w:style>
  <w:style w:type="paragraph" w:styleId="Footer">
    <w:name w:val="Footer"/>
    <w:basedOn w:val="Normal"/>
    <w:pPr>
      <w:tabs>
        <w:tab w:val="center" w:pos="4153" w:leader="none"/>
        <w:tab w:val="right" w:pos="83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TextBody"/>
    <w:qFormat/>
    <w:pPr/>
    <w:rPr/>
  </w:style>
  <w:style w:type="paragraph" w:styleId="Header">
    <w:name w:val="Header"/>
    <w:basedOn w:val="Normal"/>
    <w:pPr>
      <w:suppressLineNumbers/>
      <w:tabs>
        <w:tab w:val="center" w:pos="4818" w:leader="none"/>
        <w:tab w:val="right" w:pos="9637" w:leader="none"/>
      </w:tabs>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Title">
    <w:name w:val="Title"/>
    <w:basedOn w:val="Normal"/>
    <w:qFormat/>
    <w:pPr>
      <w:spacing w:lineRule="auto" w:line="240" w:before="0" w:after="0"/>
      <w:jc w:val="center"/>
    </w:pPr>
    <w:rPr>
      <w:rFonts w:ascii="Comic Sans MS" w:hAnsi="Comic Sans MS" w:eastAsia="Times New Roman" w:cs="Comic Sans MS"/>
      <w:b/>
      <w:bCs/>
      <w:sz w:val="32"/>
      <w:szCs w:val="24"/>
      <w:lang w:val="en-GB"/>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Titled Header</Template>
  <TotalTime>5</TotalTime>
  <Application>LibreOffice/5.2.2.2$Linux_X86_64 LibreOffice_project/20m0$Build-2</Application>
  <Pages>1</Pages>
  <Words>220</Words>
  <Characters>1174</Characters>
  <CharactersWithSpaces>1380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2016-11-18T07:28:17Z</dcterms:created>
  <dc:creator/>
  <dc:description/>
  <dc:language>en-GB</dc:language>
  <cp:lastModifiedBy/>
  <dcterms:modified xsi:type="dcterms:W3CDTF">2016-11-19T04:48:51Z</dcterms:modified>
  <cp:revision>4</cp:revision>
  <dc:subject/>
  <dc:title/>
</cp:coreProperties>
</file>